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9E" w:rsidRDefault="009C1AD9">
      <w:pPr>
        <w:tabs>
          <w:tab w:val="left" w:pos="709"/>
          <w:tab w:val="left" w:pos="1134"/>
        </w:tabs>
        <w:ind w:left="709"/>
        <w:jc w:val="both"/>
      </w:pPr>
      <w:r>
        <w:t xml:space="preserve">. </w:t>
      </w:r>
    </w:p>
    <w:p w:rsidR="00DA429E" w:rsidRDefault="00DA429E">
      <w:pPr>
        <w:jc w:val="both"/>
      </w:pPr>
    </w:p>
    <w:p w:rsidR="00DA429E" w:rsidRDefault="009C1AD9">
      <w:pPr>
        <w:pStyle w:val="a5"/>
        <w:tabs>
          <w:tab w:val="left" w:pos="567"/>
          <w:tab w:val="left" w:pos="709"/>
          <w:tab w:val="left" w:pos="992"/>
          <w:tab w:val="left" w:pos="1134"/>
          <w:tab w:val="left" w:pos="1418"/>
          <w:tab w:val="left" w:pos="1843"/>
          <w:tab w:val="left" w:pos="4678"/>
        </w:tabs>
        <w:outlineLvl w:val="0"/>
      </w:pPr>
      <w:r>
        <w:t>ΕΙΔΙΚΕΣ  ΠΡΟΔΙΑΓΡΑΦΕΣ</w:t>
      </w:r>
    </w:p>
    <w:p w:rsidR="00DA429E" w:rsidRDefault="009C1AD9">
      <w:pPr>
        <w:pStyle w:val="a5"/>
        <w:tabs>
          <w:tab w:val="left" w:pos="567"/>
          <w:tab w:val="left" w:pos="709"/>
          <w:tab w:val="left" w:pos="992"/>
          <w:tab w:val="left" w:pos="1134"/>
          <w:tab w:val="left" w:pos="1418"/>
          <w:tab w:val="left" w:pos="1843"/>
          <w:tab w:val="left" w:pos="4678"/>
        </w:tabs>
        <w:outlineLvl w:val="0"/>
      </w:pPr>
      <w:r>
        <w:t>ΓΙΑ ΤΗΝ ΠΡΟΜΗΘΕΙΑ «</w:t>
      </w:r>
      <w:r>
        <w:rPr>
          <w:sz w:val="22"/>
          <w:szCs w:val="22"/>
        </w:rPr>
        <w:t>ΚΕΝΤΡΙΚΌΣ ΣΤΑΘΜΌΣ ΚΑΤΑΓΡΑΦΉΣ</w:t>
      </w:r>
      <w:r>
        <w:t xml:space="preserve">» </w:t>
      </w:r>
    </w:p>
    <w:p w:rsidR="00DA429E" w:rsidRDefault="00DA429E">
      <w:pPr>
        <w:pStyle w:val="a5"/>
        <w:tabs>
          <w:tab w:val="left" w:pos="567"/>
          <w:tab w:val="left" w:pos="709"/>
          <w:tab w:val="left" w:pos="992"/>
          <w:tab w:val="left" w:pos="1134"/>
          <w:tab w:val="left" w:pos="1418"/>
          <w:tab w:val="left" w:pos="1843"/>
          <w:tab w:val="left" w:pos="4678"/>
        </w:tabs>
        <w:ind w:firstLine="567"/>
        <w:jc w:val="both"/>
        <w:outlineLvl w:val="0"/>
      </w:pPr>
    </w:p>
    <w:p w:rsidR="00DA429E" w:rsidRDefault="009C1AD9">
      <w:pPr>
        <w:widowControl w:val="0"/>
        <w:numPr>
          <w:ilvl w:val="0"/>
          <w:numId w:val="2"/>
        </w:numPr>
        <w:jc w:val="both"/>
      </w:pPr>
      <w:r>
        <w:t xml:space="preserve">Να είναι απόλυτα συμβατός με τα ήδη υπάρχοντα μόνιτορ που διαθέτει η πολυδύναμη μονάδα εντατικής θεραπείας ,η καρδιολογική ΜΕΘ και η </w:t>
      </w:r>
      <w:r>
        <w:rPr>
          <w:lang w:val="en-US"/>
        </w:rPr>
        <w:t>COVID</w:t>
      </w:r>
      <w:r w:rsidRPr="00C04C69">
        <w:t xml:space="preserve"> </w:t>
      </w:r>
      <w:r>
        <w:t>ΜΕΘ.</w:t>
      </w:r>
    </w:p>
    <w:p w:rsidR="00DA429E" w:rsidRDefault="00DA429E">
      <w:pPr>
        <w:widowControl w:val="0"/>
        <w:ind w:firstLine="567"/>
        <w:jc w:val="both"/>
      </w:pPr>
    </w:p>
    <w:p w:rsidR="00DA429E" w:rsidRDefault="009C1AD9">
      <w:pPr>
        <w:widowControl w:val="0"/>
        <w:numPr>
          <w:ilvl w:val="0"/>
          <w:numId w:val="2"/>
        </w:numPr>
        <w:jc w:val="both"/>
      </w:pPr>
      <w:r>
        <w:t xml:space="preserve">Να διαθέτει (Η/Υ) ηλεκτρονικό </w:t>
      </w:r>
      <w:r>
        <w:t>υπολογιστή σύγχρονης τεχνολογίας κατάλληλο και ανθεκτικό σε συνεχή χρήση.</w:t>
      </w:r>
    </w:p>
    <w:p w:rsidR="00DA429E" w:rsidRDefault="00DA429E">
      <w:pPr>
        <w:widowControl w:val="0"/>
        <w:ind w:firstLine="567"/>
        <w:jc w:val="both"/>
      </w:pPr>
    </w:p>
    <w:p w:rsidR="00DA429E" w:rsidRDefault="009C1AD9">
      <w:pPr>
        <w:widowControl w:val="0"/>
        <w:numPr>
          <w:ilvl w:val="0"/>
          <w:numId w:val="2"/>
        </w:numPr>
        <w:jc w:val="both"/>
      </w:pPr>
      <w:r>
        <w:t>Να διαθέτει οθόνη υψηλής ανάλυσης τουλάχιστον 24 inc</w:t>
      </w:r>
      <w:r>
        <w:rPr>
          <w:lang w:val="en-US"/>
        </w:rPr>
        <w:t>hes</w:t>
      </w:r>
      <w:r w:rsidRPr="00C04C69">
        <w:t>.</w:t>
      </w:r>
    </w:p>
    <w:p w:rsidR="00DA429E" w:rsidRDefault="00DA429E">
      <w:pPr>
        <w:widowControl w:val="0"/>
        <w:ind w:firstLine="567"/>
        <w:jc w:val="both"/>
      </w:pPr>
    </w:p>
    <w:p w:rsidR="00DA429E" w:rsidRDefault="009C1AD9">
      <w:pPr>
        <w:widowControl w:val="0"/>
        <w:numPr>
          <w:ilvl w:val="0"/>
          <w:numId w:val="2"/>
        </w:numPr>
        <w:jc w:val="both"/>
      </w:pPr>
      <w:r>
        <w:t>Να διαθέτει εξωτερικό εκτυπωτή Α4.</w:t>
      </w:r>
    </w:p>
    <w:p w:rsidR="00DA429E" w:rsidRDefault="00DA429E">
      <w:pPr>
        <w:ind w:firstLine="567"/>
        <w:jc w:val="both"/>
      </w:pPr>
    </w:p>
    <w:p w:rsidR="00DA429E" w:rsidRPr="00C04C69" w:rsidRDefault="009C1AD9" w:rsidP="00C04C69">
      <w:pPr>
        <w:widowControl w:val="0"/>
        <w:numPr>
          <w:ilvl w:val="0"/>
          <w:numId w:val="2"/>
        </w:numPr>
        <w:jc w:val="both"/>
      </w:pPr>
      <w:r>
        <w:t>Θα παραδοθεί με όλα τα απαραίτητα παρελκόμενα-αξεσουάρ, έτοιμο για χρήσηκαι να  διαθέτε</w:t>
      </w:r>
      <w:r>
        <w:t>ι εξόδους USB, LAN, VGA για επέκταση 2</w:t>
      </w:r>
      <w:r>
        <w:rPr>
          <w:sz w:val="14"/>
          <w:szCs w:val="14"/>
        </w:rPr>
        <w:t>ης</w:t>
      </w:r>
      <w:r>
        <w:t xml:space="preserve"> οθόνης εαν απαιτηθεί .</w:t>
      </w:r>
    </w:p>
    <w:p w:rsidR="00DA429E" w:rsidRDefault="009C1AD9">
      <w:pPr>
        <w:widowControl w:val="0"/>
        <w:numPr>
          <w:ilvl w:val="0"/>
          <w:numId w:val="2"/>
        </w:numPr>
        <w:jc w:val="both"/>
      </w:pPr>
      <w:r>
        <w:t>Να έχει τη δυνατότητα να παρακολουθεί ταυτόχρονα δεκατέσσερις (14) ασθενείς. Δυνατότητα προσθήκης περισσότερων ασθενών θα εκτιμηθεί.</w:t>
      </w:r>
    </w:p>
    <w:p w:rsidR="00DA429E" w:rsidRDefault="00DA429E">
      <w:pPr>
        <w:ind w:firstLine="567"/>
        <w:jc w:val="both"/>
      </w:pPr>
    </w:p>
    <w:p w:rsidR="00DA429E" w:rsidRDefault="009C1AD9">
      <w:pPr>
        <w:widowControl w:val="0"/>
        <w:numPr>
          <w:ilvl w:val="0"/>
          <w:numId w:val="2"/>
        </w:numPr>
        <w:jc w:val="both"/>
      </w:pPr>
      <w:r>
        <w:t>Να επικοινωνεί με τα παρακλίνια μόνιτορ σε πραγματικό χρό</w:t>
      </w:r>
      <w:r>
        <w:t>νο (</w:t>
      </w:r>
      <w:r>
        <w:rPr>
          <w:lang w:val="en-US"/>
        </w:rPr>
        <w:t>realtime</w:t>
      </w:r>
      <w:r>
        <w:t>) ενσύρματα ή ασύρματα.</w:t>
      </w:r>
    </w:p>
    <w:p w:rsidR="00DA429E" w:rsidRDefault="00DA429E">
      <w:pPr>
        <w:ind w:firstLine="567"/>
        <w:jc w:val="both"/>
      </w:pPr>
    </w:p>
    <w:p w:rsidR="00DA429E" w:rsidRDefault="009C1AD9">
      <w:pPr>
        <w:widowControl w:val="0"/>
        <w:numPr>
          <w:ilvl w:val="0"/>
          <w:numId w:val="2"/>
        </w:numPr>
        <w:jc w:val="both"/>
      </w:pPr>
      <w:r>
        <w:t xml:space="preserve">Να έχει δυνατότητα αποθήκευσης των παραμέτρων και του ΗΚΓραφήματος σε πικνογράφημα </w:t>
      </w:r>
      <w:r>
        <w:rPr>
          <w:lang w:val="en-US"/>
        </w:rPr>
        <w:t>TREND</w:t>
      </w:r>
      <w:r>
        <w:t xml:space="preserve"> τουλάχιστον 96 ωρών, τουλάχιστον 720 γεγονότασυναγερμού  και αρρυθμιών, τουλάχιστον 1000 μετρήσεις αναίμακτης πίεσης και 48 </w:t>
      </w:r>
      <w:r>
        <w:t>ώρες αποθήκευσης του καρδιογραφήματος σε φυσική μορφή (</w:t>
      </w:r>
      <w:r>
        <w:rPr>
          <w:lang w:val="en-US"/>
        </w:rPr>
        <w:t>fulldisclosure</w:t>
      </w:r>
      <w:r>
        <w:t>).</w:t>
      </w:r>
    </w:p>
    <w:p w:rsidR="00DA429E" w:rsidRDefault="00DA429E">
      <w:pPr>
        <w:widowControl w:val="0"/>
        <w:ind w:firstLine="567"/>
        <w:jc w:val="both"/>
      </w:pPr>
    </w:p>
    <w:p w:rsidR="00DA429E" w:rsidRDefault="009C1AD9">
      <w:pPr>
        <w:widowControl w:val="0"/>
        <w:numPr>
          <w:ilvl w:val="0"/>
          <w:numId w:val="2"/>
        </w:numPr>
        <w:jc w:val="both"/>
      </w:pPr>
      <w:r>
        <w:t>Να παρέχει ηχητικά και οπτικά αλάρμ με δυνατότητα ρύθμισης άνω και κάτω ορίων από τον χειριστή για όλες τις μετρούμενες παραμέτρους.</w:t>
      </w:r>
    </w:p>
    <w:p w:rsidR="00DA429E" w:rsidRDefault="00DA429E">
      <w:pPr>
        <w:widowControl w:val="0"/>
        <w:ind w:firstLine="567"/>
        <w:jc w:val="both"/>
      </w:pPr>
    </w:p>
    <w:p w:rsidR="00DA429E" w:rsidRDefault="009C1AD9">
      <w:pPr>
        <w:widowControl w:val="0"/>
        <w:numPr>
          <w:ilvl w:val="0"/>
          <w:numId w:val="2"/>
        </w:numPr>
        <w:jc w:val="both"/>
      </w:pPr>
      <w:r>
        <w:t>Να μέτρα πίεση απομακρυσμένα από τον κεντρικό στα</w:t>
      </w:r>
      <w:r>
        <w:t>θμό.</w:t>
      </w:r>
    </w:p>
    <w:p w:rsidR="00DA429E" w:rsidRDefault="00DA429E">
      <w:pPr>
        <w:widowControl w:val="0"/>
        <w:ind w:firstLine="567"/>
        <w:jc w:val="both"/>
      </w:pPr>
    </w:p>
    <w:p w:rsidR="00DA429E" w:rsidRDefault="009C1AD9">
      <w:pPr>
        <w:widowControl w:val="0"/>
        <w:numPr>
          <w:ilvl w:val="0"/>
          <w:numId w:val="2"/>
        </w:numPr>
        <w:jc w:val="both"/>
      </w:pPr>
      <w:r>
        <w:t xml:space="preserve">Να είναι συμβατό με κεντρικά νοσοκομειακά συστήματα παρακολούθησης </w:t>
      </w:r>
      <w:r>
        <w:rPr>
          <w:lang w:val="en-US"/>
        </w:rPr>
        <w:t>PACS</w:t>
      </w:r>
      <w:r>
        <w:t xml:space="preserve"> και </w:t>
      </w:r>
      <w:r>
        <w:rPr>
          <w:lang w:val="en-US"/>
        </w:rPr>
        <w:t>HIS</w:t>
      </w:r>
      <w:r>
        <w:t>.</w:t>
      </w:r>
    </w:p>
    <w:p w:rsidR="00DA429E" w:rsidRPr="00C04C69" w:rsidRDefault="00DA429E" w:rsidP="00C04C69">
      <w:pPr>
        <w:widowControl w:val="0"/>
        <w:jc w:val="both"/>
        <w:rPr>
          <w:lang w:val="en-US"/>
        </w:rPr>
      </w:pPr>
    </w:p>
    <w:p w:rsidR="00DA429E" w:rsidRDefault="009C1AD9">
      <w:pPr>
        <w:numPr>
          <w:ilvl w:val="0"/>
          <w:numId w:val="2"/>
        </w:numPr>
        <w:jc w:val="both"/>
      </w:pPr>
      <w:r>
        <w:t>Να διαθέτει εγγύηση καλής λειτουργίας 2 ετών ,επάρκεια εξαρτημάτων, ανταλλακτικών και αναλωσίμων για τουλάχιστον δέκα (10) χρόνια, με βεβαίωση από τον κατασκευαστικό ο</w:t>
      </w:r>
      <w:r>
        <w:t xml:space="preserve">ίκο (Με ποινή αποκλεισμού). </w:t>
      </w:r>
    </w:p>
    <w:p w:rsidR="00DA429E" w:rsidRDefault="00DA429E">
      <w:pPr>
        <w:ind w:firstLine="567"/>
        <w:jc w:val="both"/>
      </w:pPr>
    </w:p>
    <w:p w:rsidR="00DA429E" w:rsidRDefault="009C1AD9">
      <w:pPr>
        <w:numPr>
          <w:ilvl w:val="0"/>
          <w:numId w:val="2"/>
        </w:numPr>
        <w:jc w:val="both"/>
      </w:pPr>
      <w:r>
        <w:t>Ο προμηθευτής αναλαμβάνει την εκπαίδευση προσωπικού της Υπηρεσίας</w:t>
      </w:r>
    </w:p>
    <w:p w:rsidR="00DA429E" w:rsidRDefault="009C1AD9">
      <w:pPr>
        <w:ind w:firstLine="567"/>
        <w:jc w:val="both"/>
      </w:pPr>
      <w:r>
        <w:t>διαθέτοντας προσωπικό (καθώς και τυχόν αναλώσιμο υλικό απαραίτητο για την εκπαίδευση), χωρίς καμία οικονομική επιβάρυνση.</w:t>
      </w:r>
    </w:p>
    <w:p w:rsidR="00DA429E" w:rsidRDefault="00DA429E">
      <w:pPr>
        <w:ind w:firstLine="567"/>
        <w:jc w:val="both"/>
      </w:pPr>
    </w:p>
    <w:p w:rsidR="00DA429E" w:rsidRDefault="009C1AD9">
      <w:pPr>
        <w:numPr>
          <w:ilvl w:val="0"/>
          <w:numId w:val="2"/>
        </w:numPr>
        <w:jc w:val="both"/>
      </w:pPr>
      <w:r>
        <w:t>Να κατατεθούν με ποινή αποκλεισμού πι</w:t>
      </w:r>
      <w:r>
        <w:t>στοποιητικά EN ISO 14001 για το περιβάλλον &amp;Βεβαίωση Συμμετοχής σε Εγκεκριμένο Σύστημα Εναλλακτικής Διαχείρισης ΑΗΗΕ (σύμφωνα με το Ν. 2939/2001 και το Π.Δ 117/2004 και 15/2006).</w:t>
      </w:r>
    </w:p>
    <w:p w:rsidR="00DA429E" w:rsidRDefault="00DA429E">
      <w:pPr>
        <w:ind w:firstLine="567"/>
        <w:jc w:val="both"/>
      </w:pPr>
    </w:p>
    <w:p w:rsidR="00DA429E" w:rsidRDefault="009C1AD9">
      <w:pPr>
        <w:numPr>
          <w:ilvl w:val="0"/>
          <w:numId w:val="2"/>
        </w:numPr>
        <w:jc w:val="both"/>
      </w:pPr>
      <w:r>
        <w:lastRenderedPageBreak/>
        <w:t xml:space="preserve">Να υπάρχει πιστοποιημένο </w:t>
      </w:r>
      <w:r>
        <w:rPr>
          <w:lang w:val="en-US"/>
        </w:rPr>
        <w:t>service</w:t>
      </w:r>
      <w:r>
        <w:t xml:space="preserve"> από την προμηθεύτρια εταιρεία, καθώς και να</w:t>
      </w:r>
      <w:r>
        <w:t xml:space="preserve"> κατατεθούν με ποινή αποκλεισμού «πιστοποιητικό εκπαίδευσης» από τον κατασκευαστικό οίκο για τα προσφερόμενα μηχανήματα.</w:t>
      </w:r>
    </w:p>
    <w:p w:rsidR="00DA429E" w:rsidRDefault="00DA429E">
      <w:pPr>
        <w:ind w:firstLine="567"/>
        <w:jc w:val="both"/>
      </w:pPr>
    </w:p>
    <w:p w:rsidR="00DA429E" w:rsidRDefault="009C1AD9">
      <w:pPr>
        <w:numPr>
          <w:ilvl w:val="0"/>
          <w:numId w:val="2"/>
        </w:numPr>
        <w:jc w:val="both"/>
      </w:pPr>
      <w:r>
        <w:t>Να συνοδεύεται από πλήρες, επίσημο, εγχειρίδιο χρήσης του κατασκευαστικού οίκου (USERMANUAL) και επίσημο εγχειρίδιο συντήρησης του κατ</w:t>
      </w:r>
      <w:r>
        <w:t>ασκευαστικού οίκου (SERVICEMANUAL) Τα εγχειρίδια θα παραδοθούν στο Τμήμα Βιοϊατρικής Τεχνολογίας.</w:t>
      </w:r>
    </w:p>
    <w:p w:rsidR="00DA429E" w:rsidRDefault="00DA429E">
      <w:pPr>
        <w:ind w:firstLine="567"/>
        <w:jc w:val="both"/>
      </w:pPr>
    </w:p>
    <w:p w:rsidR="00DA429E" w:rsidRDefault="009C1AD9">
      <w:pPr>
        <w:numPr>
          <w:ilvl w:val="0"/>
          <w:numId w:val="2"/>
        </w:numPr>
        <w:jc w:val="both"/>
      </w:pPr>
      <w:r>
        <w:t>Να κατατεθούν με ποινή αποκλεισμού πιστοποιητικά EN ISO 9001:2015 ή EN ISO 13485:2003 του προμηθευτή καθώς και EN ISO 13485:2003 του κατασκευαστικού οίκου &amp;Δ</w:t>
      </w:r>
      <w:r>
        <w:t>Υ8δ/1348 του προμηθευτή με πεδίο πιστοποίησης την διακίνηση ιατροτεχνολογικών προϊόντων.</w:t>
      </w:r>
    </w:p>
    <w:p w:rsidR="00DA429E" w:rsidRDefault="00DA429E">
      <w:pPr>
        <w:ind w:firstLine="567"/>
        <w:jc w:val="both"/>
      </w:pPr>
    </w:p>
    <w:p w:rsidR="00DA429E" w:rsidRDefault="009C1AD9">
      <w:pPr>
        <w:numPr>
          <w:ilvl w:val="0"/>
          <w:numId w:val="2"/>
        </w:numPr>
        <w:jc w:val="both"/>
      </w:pPr>
      <w:r>
        <w:t>Να κατατεθούν με ποινή αποκλεισμού πλήρη τεκμηριωμένα πιστοποιητικά σήμανσης CE, ώστε να ικανοποιούνται οι αντίστοιχες απαιτήσεις των σχετικών οδηγιών της Ε.Ε (οδηγία</w:t>
      </w:r>
      <w:r>
        <w:t xml:space="preserve"> 93/42/ΕΟΚ, όπως ισχύει σήμερα) για την υπό προμήθεια ιατροτεχνολογικό εξοπλισμό.</w:t>
      </w:r>
    </w:p>
    <w:p w:rsidR="00DA429E" w:rsidRDefault="00DA429E">
      <w:pPr>
        <w:ind w:firstLine="567"/>
        <w:jc w:val="both"/>
      </w:pPr>
    </w:p>
    <w:p w:rsidR="00DA429E" w:rsidRDefault="009C1AD9">
      <w:pPr>
        <w:numPr>
          <w:ilvl w:val="0"/>
          <w:numId w:val="2"/>
        </w:numPr>
        <w:jc w:val="both"/>
      </w:pPr>
      <w:r>
        <w:t>Απαραίτητη προϋπόθεση για να αξιολογηθούν οι προσφορές, είναι η ύπαρξη φύλλου συμμόρφωσης, στο οποίο θα απαντάται με κάθε λεπτομέρεια, (όχι μονολεκτικά), και με την σειρά πο</w:t>
      </w:r>
      <w:r>
        <w:t>υ αναφέρονται όλα τα αιτήματα των τεχνικών μας προδιαγραφών. Όπου ζητείται ή κρίνεται απαραίτητη η αναδρομή σε ξενόγλωσσα φυλλάδια του κατασκευαστικού οίκου προς απόδειξη ζητουμένων στοιχείων, αυτή θα γίνεται με σαφή αναφορά στην σελίδα και παράγραφο του φ</w:t>
      </w:r>
      <w:r>
        <w:t>υλλαδίου, όπου εμπεριέχονται τα στοιχεία αυτά.</w:t>
      </w:r>
    </w:p>
    <w:p w:rsidR="00DA429E" w:rsidRDefault="00DA429E">
      <w:pPr>
        <w:pStyle w:val="a5"/>
        <w:tabs>
          <w:tab w:val="left" w:pos="567"/>
          <w:tab w:val="left" w:pos="709"/>
          <w:tab w:val="left" w:pos="992"/>
          <w:tab w:val="left" w:pos="1134"/>
          <w:tab w:val="left" w:pos="1418"/>
          <w:tab w:val="left" w:pos="1843"/>
          <w:tab w:val="left" w:pos="4678"/>
        </w:tabs>
        <w:outlineLvl w:val="0"/>
      </w:pPr>
    </w:p>
    <w:p w:rsidR="00DA429E" w:rsidRDefault="009C1AD9">
      <w:pPr>
        <w:jc w:val="both"/>
      </w:pPr>
      <w:r>
        <w:rPr>
          <w:rFonts w:ascii="Arial Unicode MS" w:hAnsi="Arial Unicode MS"/>
        </w:rPr>
        <w:br w:type="page"/>
      </w:r>
    </w:p>
    <w:sectPr w:rsidR="00DA429E" w:rsidSect="00DA429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275" w:bottom="1134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AD9" w:rsidRDefault="009C1AD9" w:rsidP="00DA429E">
      <w:r>
        <w:separator/>
      </w:r>
    </w:p>
  </w:endnote>
  <w:endnote w:type="continuationSeparator" w:id="1">
    <w:p w:rsidR="009C1AD9" w:rsidRDefault="009C1AD9" w:rsidP="00DA4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9E" w:rsidRDefault="00DA429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9E" w:rsidRDefault="00DA42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AD9" w:rsidRDefault="009C1AD9" w:rsidP="00DA429E">
      <w:r>
        <w:separator/>
      </w:r>
    </w:p>
  </w:footnote>
  <w:footnote w:type="continuationSeparator" w:id="1">
    <w:p w:rsidR="009C1AD9" w:rsidRDefault="009C1AD9" w:rsidP="00DA4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9E" w:rsidRDefault="009C1AD9">
    <w:pPr>
      <w:pStyle w:val="a3"/>
      <w:jc w:val="center"/>
    </w:pPr>
    <w:r>
      <w:rPr>
        <w:rFonts w:ascii="Arial" w:hAnsi="Arial"/>
        <w:sz w:val="24"/>
        <w:szCs w:val="24"/>
      </w:rPr>
      <w:t xml:space="preserve">Δ </w:t>
    </w:r>
    <w:r>
      <w:rPr>
        <w:rFonts w:ascii="Arial" w:hAnsi="Arial"/>
        <w:sz w:val="24"/>
        <w:szCs w:val="24"/>
      </w:rPr>
      <w:t xml:space="preserve">- </w:t>
    </w:r>
    <w:r w:rsidR="00DA429E">
      <w:rPr>
        <w:rFonts w:ascii="Arial" w:eastAsia="Arial" w:hAnsi="Arial" w:cs="Arial"/>
        <w:sz w:val="24"/>
        <w:szCs w:val="24"/>
      </w:rPr>
      <w:fldChar w:fldCharType="begin"/>
    </w:r>
    <w:r>
      <w:rPr>
        <w:rFonts w:ascii="Arial" w:eastAsia="Arial" w:hAnsi="Arial" w:cs="Arial"/>
        <w:sz w:val="24"/>
        <w:szCs w:val="24"/>
      </w:rPr>
      <w:instrText xml:space="preserve"> PAGE </w:instrText>
    </w:r>
    <w:r w:rsidR="00DA429E">
      <w:rPr>
        <w:rFonts w:ascii="Arial" w:eastAsia="Arial" w:hAnsi="Arial" w:cs="Arial"/>
        <w:sz w:val="24"/>
        <w:szCs w:val="24"/>
      </w:rPr>
      <w:fldChar w:fldCharType="separate"/>
    </w:r>
    <w:r w:rsidR="00C04C69">
      <w:rPr>
        <w:rFonts w:ascii="Arial" w:eastAsia="Arial" w:hAnsi="Arial" w:cs="Arial"/>
        <w:noProof/>
        <w:sz w:val="24"/>
        <w:szCs w:val="24"/>
      </w:rPr>
      <w:t>2</w:t>
    </w:r>
    <w:r w:rsidR="00DA429E">
      <w:rPr>
        <w:rFonts w:ascii="Arial" w:eastAsia="Arial" w:hAnsi="Arial" w:cs="Arial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9E" w:rsidRDefault="00DA42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7657"/>
    <w:multiLevelType w:val="hybridMultilevel"/>
    <w:tmpl w:val="4E8E36FA"/>
    <w:styleLink w:val="5"/>
    <w:lvl w:ilvl="0" w:tplc="61D8F1FE">
      <w:start w:val="1"/>
      <w:numFmt w:val="decimal"/>
      <w:suff w:val="nothing"/>
      <w:lvlText w:val="%1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4193C">
      <w:start w:val="1"/>
      <w:numFmt w:val="lowerLetter"/>
      <w:suff w:val="nothing"/>
      <w:lvlText w:val="%2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DCD01E">
      <w:start w:val="1"/>
      <w:numFmt w:val="lowerRoman"/>
      <w:lvlText w:val="%3."/>
      <w:lvlJc w:val="left"/>
      <w:pPr>
        <w:ind w:left="144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E2C364">
      <w:start w:val="1"/>
      <w:numFmt w:val="decimal"/>
      <w:suff w:val="nothing"/>
      <w:lvlText w:val="%4."/>
      <w:lvlJc w:val="left"/>
      <w:pPr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F2B24A">
      <w:start w:val="1"/>
      <w:numFmt w:val="lowerLetter"/>
      <w:suff w:val="nothing"/>
      <w:lvlText w:val="%5."/>
      <w:lvlJc w:val="left"/>
      <w:pPr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3A23AE">
      <w:start w:val="1"/>
      <w:numFmt w:val="lowerRoman"/>
      <w:lvlText w:val="%6."/>
      <w:lvlJc w:val="left"/>
      <w:pPr>
        <w:ind w:left="360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5C4708">
      <w:start w:val="1"/>
      <w:numFmt w:val="decimal"/>
      <w:suff w:val="nothing"/>
      <w:lvlText w:val="%7."/>
      <w:lvlJc w:val="left"/>
      <w:pPr>
        <w:ind w:left="43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827122">
      <w:start w:val="1"/>
      <w:numFmt w:val="lowerLetter"/>
      <w:suff w:val="nothing"/>
      <w:lvlText w:val="%8."/>
      <w:lvlJc w:val="left"/>
      <w:pPr>
        <w:ind w:left="504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7645DA">
      <w:start w:val="1"/>
      <w:numFmt w:val="lowerRoman"/>
      <w:lvlText w:val="%9."/>
      <w:lvlJc w:val="left"/>
      <w:pPr>
        <w:ind w:left="576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EAE50D0"/>
    <w:multiLevelType w:val="hybridMultilevel"/>
    <w:tmpl w:val="4E8E36FA"/>
    <w:numStyleLink w:val="5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429E"/>
    <w:rsid w:val="009C1AD9"/>
    <w:rsid w:val="00C04C69"/>
    <w:rsid w:val="00DA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429E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A429E"/>
    <w:rPr>
      <w:u w:val="single"/>
    </w:rPr>
  </w:style>
  <w:style w:type="table" w:customStyle="1" w:styleId="TableNormal">
    <w:name w:val="Table Normal"/>
    <w:rsid w:val="00DA42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rsid w:val="00DA429E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customStyle="1" w:styleId="a4">
    <w:name w:val="Κεφαλίδα και υποσέλιδο"/>
    <w:rsid w:val="00DA429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5">
    <w:name w:val="Title"/>
    <w:rsid w:val="00DA429E"/>
    <w:pPr>
      <w:jc w:val="center"/>
    </w:pPr>
    <w:rPr>
      <w:rFonts w:ascii="Arial" w:hAnsi="Arial" w:cs="Arial Unicode MS"/>
      <w:b/>
      <w:bCs/>
      <w:color w:val="000000"/>
      <w:sz w:val="24"/>
      <w:szCs w:val="24"/>
      <w:u w:val="single" w:color="000000"/>
    </w:rPr>
  </w:style>
  <w:style w:type="numbering" w:customStyle="1" w:styleId="5">
    <w:name w:val="Εισήχθηκε το στιλ 5"/>
    <w:rsid w:val="00DA429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iandrikos</cp:lastModifiedBy>
  <cp:revision>2</cp:revision>
  <dcterms:created xsi:type="dcterms:W3CDTF">2021-09-22T06:25:00Z</dcterms:created>
  <dcterms:modified xsi:type="dcterms:W3CDTF">2021-09-22T06:26:00Z</dcterms:modified>
</cp:coreProperties>
</file>